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0" w:type="dxa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A7087" w:rsidRPr="00DA7087" w:rsidTr="00DA7087">
        <w:trPr>
          <w:tblCellSpacing w:w="0" w:type="dxa"/>
        </w:trPr>
        <w:tc>
          <w:tcPr>
            <w:tcW w:w="4540" w:type="dxa"/>
            <w:shd w:val="clear" w:color="auto" w:fill="FBFBFB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1"/>
              <w:gridCol w:w="2099"/>
              <w:gridCol w:w="2144"/>
              <w:gridCol w:w="2316"/>
            </w:tblGrid>
            <w:tr w:rsidR="00DA7087" w:rsidRPr="00DA7087">
              <w:trPr>
                <w:jc w:val="center"/>
              </w:trPr>
              <w:tc>
                <w:tcPr>
                  <w:tcW w:w="2792" w:type="dxa"/>
                  <w:tcBorders>
                    <w:top w:val="single" w:sz="8" w:space="0" w:color="BDD6EE"/>
                    <w:left w:val="single" w:sz="8" w:space="0" w:color="BDD6EE"/>
                    <w:bottom w:val="single" w:sz="12" w:space="0" w:color="9CC2E5"/>
                    <w:right w:val="single" w:sz="8" w:space="0" w:color="BDD6E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bookmarkStart w:id="0" w:name="_GoBack"/>
                  <w:bookmarkEnd w:id="0"/>
                  <w:r w:rsidRPr="00DA7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Kompetenceområde</w:t>
                  </w:r>
                </w:p>
              </w:tc>
              <w:tc>
                <w:tcPr>
                  <w:tcW w:w="2792" w:type="dxa"/>
                  <w:tcBorders>
                    <w:top w:val="single" w:sz="8" w:space="0" w:color="BDD6EE"/>
                    <w:left w:val="nil"/>
                    <w:bottom w:val="single" w:sz="12" w:space="0" w:color="9CC2E5"/>
                    <w:right w:val="single" w:sz="8" w:space="0" w:color="BDD6E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A7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1.-4. klasse</w:t>
                  </w:r>
                </w:p>
              </w:tc>
              <w:tc>
                <w:tcPr>
                  <w:tcW w:w="2792" w:type="dxa"/>
                  <w:tcBorders>
                    <w:top w:val="single" w:sz="8" w:space="0" w:color="BDD6EE"/>
                    <w:left w:val="nil"/>
                    <w:bottom w:val="single" w:sz="12" w:space="0" w:color="9CC2E5"/>
                    <w:right w:val="single" w:sz="8" w:space="0" w:color="BDD6E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A7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5.-6. klasse</w:t>
                  </w:r>
                </w:p>
              </w:tc>
              <w:tc>
                <w:tcPr>
                  <w:tcW w:w="2792" w:type="dxa"/>
                  <w:tcBorders>
                    <w:top w:val="single" w:sz="8" w:space="0" w:color="BDD6EE"/>
                    <w:left w:val="nil"/>
                    <w:bottom w:val="single" w:sz="12" w:space="0" w:color="9CC2E5"/>
                    <w:right w:val="single" w:sz="8" w:space="0" w:color="BDD6E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A7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7.-9. klasse</w:t>
                  </w:r>
                </w:p>
              </w:tc>
            </w:tr>
            <w:tr w:rsidR="00DA7087" w:rsidRPr="00DA7087">
              <w:trPr>
                <w:jc w:val="center"/>
              </w:trPr>
              <w:tc>
                <w:tcPr>
                  <w:tcW w:w="2792" w:type="dxa"/>
                  <w:tcBorders>
                    <w:top w:val="nil"/>
                    <w:left w:val="single" w:sz="8" w:space="0" w:color="BDD6EE"/>
                    <w:bottom w:val="single" w:sz="8" w:space="0" w:color="BDD6EE"/>
                    <w:right w:val="single" w:sz="8" w:space="0" w:color="BDD6E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A7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Mundtlig kommunikation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A7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A7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A7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A7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8" w:space="0" w:color="BDD6EE"/>
                    <w:right w:val="single" w:sz="8" w:space="0" w:color="BDD6E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forstå enkle bydende, spørgende og fremsættende sætninger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udvise mod ved at deltage aktivt i sproglige aktiviteter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forstå korte instruktioner, spørgsmål og beskrivelser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forstå hovedindholdet i korte fortællinger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deltage i korte og enkle samtaler om konkrete hverdagsemner på engelsk.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Der arbejdes med hverdagsemner som farver, tal, alfabetet, kropsdele, dyr, mad, dage, måneder mm.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Gennem små lege, sange, rim og remser, forskellige øvelser og CL aktiviteter, skal eleverne tilegne sig sproget og opbygge et ordforråd.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Der trænes i korlæsning og fælles udtalelser, så alle får lov at smage på sproget og tør forsøge sig med udtalelserne.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I mindre aktiviteter træner eleverne små præsentationer af de enkelte emner.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lastRenderedPageBreak/>
                    <w:t> 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8" w:space="0" w:color="BDD6EE"/>
                    <w:right w:val="single" w:sz="8" w:space="0" w:color="BDD6E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lastRenderedPageBreak/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forstå enkle letforståelige tekster i naturligt taletempo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indgå i en enkel, spontan samtale om kendte emner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har viden om enkle indlednings- og afslutningsgambitter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skal kunne fremlægge mindre emner som præsentationer / mundtlige oplæg. Kunne læse op med fokus på genre og udtale.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Vi arbejder med dialoger og med udgangspunkt i hverdagen via CL aktiviteter, dramalege og læseteater.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Eleverne arbejder med at lytte, forstå samt svare på spørgsmål og handle i dagligdags situationer.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Vi arbejder løbende med fremlæggelser, gerne som præsentationer på computeren fx Prezi.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8" w:space="0" w:color="BDD6EE"/>
                    <w:right w:val="single" w:sz="8" w:space="0" w:color="BDD6E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forstå hovedindholdet af autentiske tekster om samfundsrelaterede emner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deltage aktivt i en uforberedt samtale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anvende et rimelig præcist og nuanceret ordforråd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give sammenhængende fremstillinger på basis af indhentede informationer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Der arbejdes med dialoger, diskussioner og meningsudveksling om samfundsrelevante emner.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Der er meget fokus på samtalen og ofte med udgangspunkt i emner der har interesse for eleverne og emner de kan forholde sig og tage stilling til.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Eleverne arbejder med IT præsentationer og fremstillinger, hvor tale og oplæsning kommer i spil.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DA7087" w:rsidRPr="00DA7087">
              <w:trPr>
                <w:jc w:val="center"/>
              </w:trPr>
              <w:tc>
                <w:tcPr>
                  <w:tcW w:w="2792" w:type="dxa"/>
                  <w:tcBorders>
                    <w:top w:val="nil"/>
                    <w:left w:val="single" w:sz="8" w:space="0" w:color="BDD6EE"/>
                    <w:bottom w:val="single" w:sz="8" w:space="0" w:color="BDD6EE"/>
                    <w:right w:val="single" w:sz="8" w:space="0" w:color="BDD6E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A7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Skriftlig kommunikation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A7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A7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A7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A7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8" w:space="0" w:color="BDD6EE"/>
                    <w:right w:val="single" w:sz="8" w:space="0" w:color="BDD6E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kommunikere med enkle ord og korte sætninger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producere små tekster ved hjælp af sætningsskabeloner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skrive enkle beretninger om egen hverdag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 xml:space="preserve">Eleven kan </w:t>
                  </w:r>
                  <w:r w:rsidR="000B1172"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anvende enkle nutids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former</w:t>
                  </w:r>
                  <w:r w:rsidR="000B1172"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 xml:space="preserve">. Vi har særligt fokus på: To </w:t>
                  </w:r>
                  <w:proofErr w:type="spellStart"/>
                  <w:r w:rsidR="000B1172"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be</w:t>
                  </w:r>
                  <w:proofErr w:type="spellEnd"/>
                  <w:r w:rsidR="000B1172"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, to do, to have.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Til hvert emne arbejdes der med skriftlig fremstilling ud fra det opbyggede ordforråd.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Opgaverne differentieres ud fra elevernes engelsk-kompetencer, og udføres ud fra det enkelte barns kunnen.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Der arbejdes med både lukkede og åbne opgaver - og både elektronisk og på papir.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8" w:space="0" w:color="BDD6EE"/>
                    <w:right w:val="single" w:sz="8" w:space="0" w:color="BDD6E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skrive små fortællinger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skrive forståeligt og sammenhængende på engelsk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anvende de mest grundlæggende bøjningsformer og syntaktiske strukturer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forstå og skrive hyppige ord og udtryk samt korte tekster om hverdagsemner på engelsk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skal kunne producere små tekster med vægt på hverdagsvendinger.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br/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br/>
                    <w:t> Vi arbejder med skriftlighed under alle overskrifter - også som en vigtig del af det kommunikative. Vi arbejder med skriftlige manuskripter og stikord som struktur.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br/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br/>
                    <w:t xml:space="preserve"> Vi arbejder hen </w:t>
                  </w:r>
                  <w:proofErr w:type="gramStart"/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imod  at</w:t>
                  </w:r>
                  <w:proofErr w:type="gramEnd"/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 xml:space="preserve"> eleverne kan referere tekster og skrive tekster med længere sætninger med fokus på ordstilling, grammatik og korrekte vendinger.</w:t>
                  </w:r>
                  <w:r w:rsidR="000B1172"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 xml:space="preserve"> Vi har særligt fokus på datidsformerne af to </w:t>
                  </w:r>
                  <w:proofErr w:type="spellStart"/>
                  <w:r w:rsidR="000B1172"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be</w:t>
                  </w:r>
                  <w:proofErr w:type="spellEnd"/>
                  <w:r w:rsidR="000B1172"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, to have, to do etc.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br/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br/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br/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br/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lastRenderedPageBreak/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br/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br/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br/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br/>
                    <w:t> 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8" w:space="0" w:color="BDD6EE"/>
                    <w:right w:val="single" w:sz="8" w:space="0" w:color="BDD6E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lastRenderedPageBreak/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udtrykke sig skriftligt afpasset hensigt, modtager og situation i længere sammenhængende tekster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give og modtage respons i det skriftlige arbejde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udtrykke sig skriftligt afpasset formål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Der arbejdes med skriftligt arbejde under udførelsen af emner og præsentationer.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D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erudover skrives noter til opgaver og undervisning.</w:t>
                  </w:r>
                </w:p>
                <w:p w:rsid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Der arbejdes hen i mod den frie skriftlige fremstilling, som er gældende til FSA.</w:t>
                  </w:r>
                </w:p>
                <w:p w:rsidR="000B1172" w:rsidRPr="00DA7087" w:rsidRDefault="000B1172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DA7087" w:rsidRPr="00DA7087">
              <w:trPr>
                <w:jc w:val="center"/>
              </w:trPr>
              <w:tc>
                <w:tcPr>
                  <w:tcW w:w="2792" w:type="dxa"/>
                  <w:tcBorders>
                    <w:top w:val="nil"/>
                    <w:left w:val="single" w:sz="8" w:space="0" w:color="BDD6EE"/>
                    <w:bottom w:val="single" w:sz="8" w:space="0" w:color="BDD6EE"/>
                    <w:right w:val="single" w:sz="8" w:space="0" w:color="BDD6E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A7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Kultur og samfund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A7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A7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A7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A7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8" w:space="0" w:color="BDD6EE"/>
                    <w:right w:val="single" w:sz="8" w:space="0" w:color="BDD6E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fortælle om egne traditioner og egen dagligdag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forstå små historier om dagligdagen i engelsksprogede samfund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genkende engelsk i mange sammenhænge i Danmark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Løbende gennem året arbejdes med den engelske kultur. F. eks. i emner som skole, jul, halloween, påske mm.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Der opsættes ligheder og forskelle mellem den engelske og den dansk kultur.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8" w:space="0" w:color="BDD6EE"/>
                    <w:right w:val="single" w:sz="8" w:space="0" w:color="BDD6E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give eksempler på forskelle og ligheder mellem kultur- og samfundsforhold i eget land og i engelsksprogede områder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har viden om forskellige medier som adgang til international kontakt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indgå i enkle forberedte kulturmøder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 xml:space="preserve"> Vi arbejder med kulturmødet under emner som </w:t>
                  </w:r>
                  <w:proofErr w:type="gramStart"/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fx  særlige</w:t>
                  </w:r>
                  <w:proofErr w:type="gramEnd"/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 xml:space="preserve"> højtider / skikke, mad, natur i de engelsksprogede lande, med vægt på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8" w:space="0" w:color="BDD6EE"/>
                    <w:right w:val="single" w:sz="8" w:space="0" w:color="BDD6E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agere i spontane internationale kulturmøder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kan anvende engelsk som internationalt kommunikationsmiddel i forskellige situationer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ind w:hanging="360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·        </w:t>
                  </w:r>
                  <w:r w:rsidRPr="000B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Eleven har viden om varianter af engelsk på verdensplan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Vi arbejder med forskellige kulturmødet under emner som fx engelsktalende lande, minoriteter, traditioner og forskelligheder.</w:t>
                  </w:r>
                </w:p>
                <w:p w:rsidR="00DA7087" w:rsidRPr="00DA7087" w:rsidRDefault="000B1172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I 8. og 9. klasse skal eleverne gennemgå minimum fire hovedemner, der repræsenterer flere forskellige engelsksprogede kulturer.</w:t>
                  </w:r>
                </w:p>
                <w:p w:rsidR="00DA7087" w:rsidRPr="00DA7087" w:rsidRDefault="00DA7087" w:rsidP="00DA708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708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</w:tbl>
          <w:p w:rsidR="00DA7087" w:rsidRPr="00DA7087" w:rsidRDefault="00DA7087" w:rsidP="00DA70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</w:p>
        </w:tc>
      </w:tr>
    </w:tbl>
    <w:p w:rsidR="001019F0" w:rsidRDefault="001019F0"/>
    <w:sectPr w:rsidR="001019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87"/>
    <w:rsid w:val="00013BA6"/>
    <w:rsid w:val="00015A74"/>
    <w:rsid w:val="00015AC1"/>
    <w:rsid w:val="00021F1A"/>
    <w:rsid w:val="000220A1"/>
    <w:rsid w:val="00030BD8"/>
    <w:rsid w:val="0003467B"/>
    <w:rsid w:val="00034F38"/>
    <w:rsid w:val="00035BFE"/>
    <w:rsid w:val="00040E7B"/>
    <w:rsid w:val="00045861"/>
    <w:rsid w:val="00050777"/>
    <w:rsid w:val="00050854"/>
    <w:rsid w:val="00053996"/>
    <w:rsid w:val="00062846"/>
    <w:rsid w:val="00065FAA"/>
    <w:rsid w:val="00070F59"/>
    <w:rsid w:val="0008153C"/>
    <w:rsid w:val="00093779"/>
    <w:rsid w:val="000958E2"/>
    <w:rsid w:val="00097031"/>
    <w:rsid w:val="000970F6"/>
    <w:rsid w:val="000A1FB1"/>
    <w:rsid w:val="000A2BE8"/>
    <w:rsid w:val="000A42A3"/>
    <w:rsid w:val="000A4474"/>
    <w:rsid w:val="000B02E7"/>
    <w:rsid w:val="000B1172"/>
    <w:rsid w:val="000B3BD3"/>
    <w:rsid w:val="000B6A63"/>
    <w:rsid w:val="000C5C8E"/>
    <w:rsid w:val="000E25C7"/>
    <w:rsid w:val="000F040D"/>
    <w:rsid w:val="000F48EA"/>
    <w:rsid w:val="00100369"/>
    <w:rsid w:val="001019F0"/>
    <w:rsid w:val="00105FFA"/>
    <w:rsid w:val="001131BD"/>
    <w:rsid w:val="0011523F"/>
    <w:rsid w:val="00126BC4"/>
    <w:rsid w:val="00133A37"/>
    <w:rsid w:val="00133ADE"/>
    <w:rsid w:val="00153AD6"/>
    <w:rsid w:val="001603F5"/>
    <w:rsid w:val="00163ECF"/>
    <w:rsid w:val="00172CD3"/>
    <w:rsid w:val="00176D06"/>
    <w:rsid w:val="00185BBF"/>
    <w:rsid w:val="001978B5"/>
    <w:rsid w:val="001A56B6"/>
    <w:rsid w:val="001B070F"/>
    <w:rsid w:val="001B1024"/>
    <w:rsid w:val="001B757E"/>
    <w:rsid w:val="001C0979"/>
    <w:rsid w:val="001C2495"/>
    <w:rsid w:val="001D0C2E"/>
    <w:rsid w:val="001D0D75"/>
    <w:rsid w:val="001D23C7"/>
    <w:rsid w:val="001D3A80"/>
    <w:rsid w:val="001D3EF1"/>
    <w:rsid w:val="001D6249"/>
    <w:rsid w:val="001D67FC"/>
    <w:rsid w:val="001D6A18"/>
    <w:rsid w:val="001E519F"/>
    <w:rsid w:val="001F0268"/>
    <w:rsid w:val="001F0A89"/>
    <w:rsid w:val="001F0C25"/>
    <w:rsid w:val="001F6420"/>
    <w:rsid w:val="00202194"/>
    <w:rsid w:val="00213C62"/>
    <w:rsid w:val="002179ED"/>
    <w:rsid w:val="00223F1C"/>
    <w:rsid w:val="00226D42"/>
    <w:rsid w:val="00226DFC"/>
    <w:rsid w:val="002371B7"/>
    <w:rsid w:val="002449D0"/>
    <w:rsid w:val="00244C39"/>
    <w:rsid w:val="00247DF5"/>
    <w:rsid w:val="00267B87"/>
    <w:rsid w:val="00272506"/>
    <w:rsid w:val="00273AA5"/>
    <w:rsid w:val="00273EBA"/>
    <w:rsid w:val="00274BC5"/>
    <w:rsid w:val="00275F2D"/>
    <w:rsid w:val="00277977"/>
    <w:rsid w:val="0028311D"/>
    <w:rsid w:val="00290544"/>
    <w:rsid w:val="002941A5"/>
    <w:rsid w:val="002962F9"/>
    <w:rsid w:val="002A0AEF"/>
    <w:rsid w:val="002A340A"/>
    <w:rsid w:val="002B7A4A"/>
    <w:rsid w:val="002C0A25"/>
    <w:rsid w:val="002D1D35"/>
    <w:rsid w:val="002D5DF8"/>
    <w:rsid w:val="002E2539"/>
    <w:rsid w:val="002E765C"/>
    <w:rsid w:val="002F2897"/>
    <w:rsid w:val="002F40D4"/>
    <w:rsid w:val="002F5172"/>
    <w:rsid w:val="00301F6E"/>
    <w:rsid w:val="00303E7A"/>
    <w:rsid w:val="00307E24"/>
    <w:rsid w:val="00314503"/>
    <w:rsid w:val="00321744"/>
    <w:rsid w:val="00322D02"/>
    <w:rsid w:val="00323932"/>
    <w:rsid w:val="00327BD0"/>
    <w:rsid w:val="00330191"/>
    <w:rsid w:val="00331E1D"/>
    <w:rsid w:val="00332327"/>
    <w:rsid w:val="00360ED7"/>
    <w:rsid w:val="003653CD"/>
    <w:rsid w:val="003665C0"/>
    <w:rsid w:val="00367BB8"/>
    <w:rsid w:val="00373135"/>
    <w:rsid w:val="00374691"/>
    <w:rsid w:val="003756A3"/>
    <w:rsid w:val="00391DF3"/>
    <w:rsid w:val="00396F02"/>
    <w:rsid w:val="003A09E8"/>
    <w:rsid w:val="003A1A0F"/>
    <w:rsid w:val="003A456E"/>
    <w:rsid w:val="003B3AE1"/>
    <w:rsid w:val="003C0CA0"/>
    <w:rsid w:val="003C2070"/>
    <w:rsid w:val="003C5D11"/>
    <w:rsid w:val="003C64F2"/>
    <w:rsid w:val="003E18E9"/>
    <w:rsid w:val="003F0133"/>
    <w:rsid w:val="003F033F"/>
    <w:rsid w:val="003F253F"/>
    <w:rsid w:val="003F4243"/>
    <w:rsid w:val="003F553A"/>
    <w:rsid w:val="00401068"/>
    <w:rsid w:val="00401540"/>
    <w:rsid w:val="00403F77"/>
    <w:rsid w:val="00406113"/>
    <w:rsid w:val="00410798"/>
    <w:rsid w:val="00411307"/>
    <w:rsid w:val="004177EA"/>
    <w:rsid w:val="0042257B"/>
    <w:rsid w:val="0042308B"/>
    <w:rsid w:val="00426E52"/>
    <w:rsid w:val="00436042"/>
    <w:rsid w:val="00443F84"/>
    <w:rsid w:val="004751B7"/>
    <w:rsid w:val="00484A9E"/>
    <w:rsid w:val="00485812"/>
    <w:rsid w:val="00486EE1"/>
    <w:rsid w:val="00495686"/>
    <w:rsid w:val="00497AB9"/>
    <w:rsid w:val="004A1156"/>
    <w:rsid w:val="004A2ECB"/>
    <w:rsid w:val="004B1E51"/>
    <w:rsid w:val="004B6B3B"/>
    <w:rsid w:val="004C04F8"/>
    <w:rsid w:val="004C21C7"/>
    <w:rsid w:val="004C67EF"/>
    <w:rsid w:val="004D0FD6"/>
    <w:rsid w:val="004E0366"/>
    <w:rsid w:val="004E25DC"/>
    <w:rsid w:val="004F0F31"/>
    <w:rsid w:val="004F4602"/>
    <w:rsid w:val="004F4A0A"/>
    <w:rsid w:val="005018AC"/>
    <w:rsid w:val="00504659"/>
    <w:rsid w:val="0052688D"/>
    <w:rsid w:val="00545DD1"/>
    <w:rsid w:val="00552042"/>
    <w:rsid w:val="005577C5"/>
    <w:rsid w:val="00557B6D"/>
    <w:rsid w:val="00564C3E"/>
    <w:rsid w:val="00574D41"/>
    <w:rsid w:val="00576735"/>
    <w:rsid w:val="00576C5E"/>
    <w:rsid w:val="00582FD8"/>
    <w:rsid w:val="005837CA"/>
    <w:rsid w:val="0058456C"/>
    <w:rsid w:val="00591505"/>
    <w:rsid w:val="00591B99"/>
    <w:rsid w:val="0059392E"/>
    <w:rsid w:val="00597B70"/>
    <w:rsid w:val="005B0BFE"/>
    <w:rsid w:val="005B351C"/>
    <w:rsid w:val="005B5719"/>
    <w:rsid w:val="005C4A52"/>
    <w:rsid w:val="005C4E17"/>
    <w:rsid w:val="005C7A27"/>
    <w:rsid w:val="005C7A7D"/>
    <w:rsid w:val="005C7B00"/>
    <w:rsid w:val="005D0D97"/>
    <w:rsid w:val="005D7207"/>
    <w:rsid w:val="005D734D"/>
    <w:rsid w:val="005E062F"/>
    <w:rsid w:val="005E3A12"/>
    <w:rsid w:val="005E4703"/>
    <w:rsid w:val="005F1F56"/>
    <w:rsid w:val="005F357A"/>
    <w:rsid w:val="005F5299"/>
    <w:rsid w:val="005F7C27"/>
    <w:rsid w:val="00600EB4"/>
    <w:rsid w:val="00605225"/>
    <w:rsid w:val="00606AD0"/>
    <w:rsid w:val="00606F51"/>
    <w:rsid w:val="006127B8"/>
    <w:rsid w:val="00617A54"/>
    <w:rsid w:val="00621C1A"/>
    <w:rsid w:val="00621DAE"/>
    <w:rsid w:val="00625FD2"/>
    <w:rsid w:val="00631EA6"/>
    <w:rsid w:val="006428E9"/>
    <w:rsid w:val="00645F3A"/>
    <w:rsid w:val="0065071D"/>
    <w:rsid w:val="00652CDF"/>
    <w:rsid w:val="00676ABF"/>
    <w:rsid w:val="006803E6"/>
    <w:rsid w:val="006807B6"/>
    <w:rsid w:val="0069336E"/>
    <w:rsid w:val="006A10E4"/>
    <w:rsid w:val="006B0DF8"/>
    <w:rsid w:val="006B3BB3"/>
    <w:rsid w:val="006C0EB2"/>
    <w:rsid w:val="006C2878"/>
    <w:rsid w:val="006C288C"/>
    <w:rsid w:val="006C784F"/>
    <w:rsid w:val="006D2C93"/>
    <w:rsid w:val="006E10C8"/>
    <w:rsid w:val="006F073B"/>
    <w:rsid w:val="006F31D4"/>
    <w:rsid w:val="00707657"/>
    <w:rsid w:val="0071001C"/>
    <w:rsid w:val="00710D0F"/>
    <w:rsid w:val="00721045"/>
    <w:rsid w:val="007221C4"/>
    <w:rsid w:val="00726895"/>
    <w:rsid w:val="007401E7"/>
    <w:rsid w:val="00740A78"/>
    <w:rsid w:val="007438C0"/>
    <w:rsid w:val="00746D42"/>
    <w:rsid w:val="00746D57"/>
    <w:rsid w:val="007506EA"/>
    <w:rsid w:val="00754FE8"/>
    <w:rsid w:val="00757314"/>
    <w:rsid w:val="007605B2"/>
    <w:rsid w:val="00761E23"/>
    <w:rsid w:val="007623BD"/>
    <w:rsid w:val="00764315"/>
    <w:rsid w:val="0076749C"/>
    <w:rsid w:val="0077591F"/>
    <w:rsid w:val="007905E2"/>
    <w:rsid w:val="007923A9"/>
    <w:rsid w:val="0079244B"/>
    <w:rsid w:val="00792DB0"/>
    <w:rsid w:val="00794637"/>
    <w:rsid w:val="00794F27"/>
    <w:rsid w:val="007A505F"/>
    <w:rsid w:val="007A5593"/>
    <w:rsid w:val="007B1782"/>
    <w:rsid w:val="007B2ADD"/>
    <w:rsid w:val="007B30B8"/>
    <w:rsid w:val="007B3F89"/>
    <w:rsid w:val="007C05DA"/>
    <w:rsid w:val="007C4C47"/>
    <w:rsid w:val="007D0106"/>
    <w:rsid w:val="007D06EF"/>
    <w:rsid w:val="007E3014"/>
    <w:rsid w:val="007E38FE"/>
    <w:rsid w:val="007E6DC0"/>
    <w:rsid w:val="007F34B0"/>
    <w:rsid w:val="007F5FAA"/>
    <w:rsid w:val="007F65DA"/>
    <w:rsid w:val="007F78D1"/>
    <w:rsid w:val="00801EB4"/>
    <w:rsid w:val="0080323E"/>
    <w:rsid w:val="00803C68"/>
    <w:rsid w:val="0080431D"/>
    <w:rsid w:val="00804C24"/>
    <w:rsid w:val="0082179E"/>
    <w:rsid w:val="008277AA"/>
    <w:rsid w:val="008304B2"/>
    <w:rsid w:val="00834925"/>
    <w:rsid w:val="0086510B"/>
    <w:rsid w:val="00867532"/>
    <w:rsid w:val="0086799F"/>
    <w:rsid w:val="008726B2"/>
    <w:rsid w:val="00885238"/>
    <w:rsid w:val="00886D7B"/>
    <w:rsid w:val="0089213A"/>
    <w:rsid w:val="00897CD3"/>
    <w:rsid w:val="008A3740"/>
    <w:rsid w:val="008A6840"/>
    <w:rsid w:val="008B53B8"/>
    <w:rsid w:val="008B639F"/>
    <w:rsid w:val="008C07FB"/>
    <w:rsid w:val="008C2822"/>
    <w:rsid w:val="008C4C92"/>
    <w:rsid w:val="008D5029"/>
    <w:rsid w:val="008D6200"/>
    <w:rsid w:val="008E5DC2"/>
    <w:rsid w:val="008E7D90"/>
    <w:rsid w:val="008F199E"/>
    <w:rsid w:val="008F6D6A"/>
    <w:rsid w:val="0090374F"/>
    <w:rsid w:val="00905457"/>
    <w:rsid w:val="0091036A"/>
    <w:rsid w:val="00911A5B"/>
    <w:rsid w:val="00912E51"/>
    <w:rsid w:val="00912FEF"/>
    <w:rsid w:val="00915BB2"/>
    <w:rsid w:val="0091699F"/>
    <w:rsid w:val="00917884"/>
    <w:rsid w:val="00920332"/>
    <w:rsid w:val="00920388"/>
    <w:rsid w:val="00923175"/>
    <w:rsid w:val="00925D44"/>
    <w:rsid w:val="00930FD2"/>
    <w:rsid w:val="0093117E"/>
    <w:rsid w:val="00931704"/>
    <w:rsid w:val="00952D8D"/>
    <w:rsid w:val="00962C4D"/>
    <w:rsid w:val="00973F3D"/>
    <w:rsid w:val="009812FC"/>
    <w:rsid w:val="00985122"/>
    <w:rsid w:val="0098689E"/>
    <w:rsid w:val="00987937"/>
    <w:rsid w:val="009959CD"/>
    <w:rsid w:val="00997572"/>
    <w:rsid w:val="009A4919"/>
    <w:rsid w:val="009A53B8"/>
    <w:rsid w:val="009A6B6D"/>
    <w:rsid w:val="009B0B90"/>
    <w:rsid w:val="009B132C"/>
    <w:rsid w:val="009B3C44"/>
    <w:rsid w:val="009B5962"/>
    <w:rsid w:val="009C3EF7"/>
    <w:rsid w:val="009C66A7"/>
    <w:rsid w:val="009E3668"/>
    <w:rsid w:val="009E67B9"/>
    <w:rsid w:val="009E6D45"/>
    <w:rsid w:val="00A0244E"/>
    <w:rsid w:val="00A10BF2"/>
    <w:rsid w:val="00A16F88"/>
    <w:rsid w:val="00A200BD"/>
    <w:rsid w:val="00A20DAD"/>
    <w:rsid w:val="00A23CCF"/>
    <w:rsid w:val="00A269E1"/>
    <w:rsid w:val="00A26B88"/>
    <w:rsid w:val="00A345A2"/>
    <w:rsid w:val="00A3470F"/>
    <w:rsid w:val="00A4359A"/>
    <w:rsid w:val="00A4537B"/>
    <w:rsid w:val="00A45C9F"/>
    <w:rsid w:val="00A477FA"/>
    <w:rsid w:val="00A51DA6"/>
    <w:rsid w:val="00A53F71"/>
    <w:rsid w:val="00A55529"/>
    <w:rsid w:val="00A653FA"/>
    <w:rsid w:val="00A72586"/>
    <w:rsid w:val="00A83396"/>
    <w:rsid w:val="00A900EE"/>
    <w:rsid w:val="00A91A36"/>
    <w:rsid w:val="00A97197"/>
    <w:rsid w:val="00AA26F0"/>
    <w:rsid w:val="00AA7169"/>
    <w:rsid w:val="00AB1663"/>
    <w:rsid w:val="00AB187F"/>
    <w:rsid w:val="00AC13AB"/>
    <w:rsid w:val="00AC5957"/>
    <w:rsid w:val="00AC6E76"/>
    <w:rsid w:val="00AC7C83"/>
    <w:rsid w:val="00AD3DBD"/>
    <w:rsid w:val="00AD71F8"/>
    <w:rsid w:val="00AE1CCA"/>
    <w:rsid w:val="00AF2394"/>
    <w:rsid w:val="00AF59A0"/>
    <w:rsid w:val="00B00312"/>
    <w:rsid w:val="00B04842"/>
    <w:rsid w:val="00B11057"/>
    <w:rsid w:val="00B13A65"/>
    <w:rsid w:val="00B20495"/>
    <w:rsid w:val="00B42F48"/>
    <w:rsid w:val="00B43CD7"/>
    <w:rsid w:val="00B450DB"/>
    <w:rsid w:val="00B4546A"/>
    <w:rsid w:val="00B50A43"/>
    <w:rsid w:val="00B54708"/>
    <w:rsid w:val="00B5599B"/>
    <w:rsid w:val="00B67A99"/>
    <w:rsid w:val="00B67C14"/>
    <w:rsid w:val="00B71A2A"/>
    <w:rsid w:val="00B71E1B"/>
    <w:rsid w:val="00B72A68"/>
    <w:rsid w:val="00B96A56"/>
    <w:rsid w:val="00B97DB5"/>
    <w:rsid w:val="00BA0257"/>
    <w:rsid w:val="00BC741C"/>
    <w:rsid w:val="00BD5A2A"/>
    <w:rsid w:val="00BD66C7"/>
    <w:rsid w:val="00BE3406"/>
    <w:rsid w:val="00BE6C71"/>
    <w:rsid w:val="00BF7F85"/>
    <w:rsid w:val="00C03F59"/>
    <w:rsid w:val="00C05EA8"/>
    <w:rsid w:val="00C1172B"/>
    <w:rsid w:val="00C131DD"/>
    <w:rsid w:val="00C1740A"/>
    <w:rsid w:val="00C21387"/>
    <w:rsid w:val="00C21C7C"/>
    <w:rsid w:val="00C25B02"/>
    <w:rsid w:val="00C40206"/>
    <w:rsid w:val="00C43917"/>
    <w:rsid w:val="00C44617"/>
    <w:rsid w:val="00C50987"/>
    <w:rsid w:val="00C514F3"/>
    <w:rsid w:val="00C51E41"/>
    <w:rsid w:val="00C528E6"/>
    <w:rsid w:val="00C570A1"/>
    <w:rsid w:val="00C62054"/>
    <w:rsid w:val="00C6337E"/>
    <w:rsid w:val="00C64964"/>
    <w:rsid w:val="00C66603"/>
    <w:rsid w:val="00C6687E"/>
    <w:rsid w:val="00C70D9E"/>
    <w:rsid w:val="00C93A6E"/>
    <w:rsid w:val="00CA1D2B"/>
    <w:rsid w:val="00CA2627"/>
    <w:rsid w:val="00CB3AD1"/>
    <w:rsid w:val="00CC0B95"/>
    <w:rsid w:val="00CC3372"/>
    <w:rsid w:val="00CC41B7"/>
    <w:rsid w:val="00CC43F8"/>
    <w:rsid w:val="00CD0084"/>
    <w:rsid w:val="00CD0AF3"/>
    <w:rsid w:val="00CD0F2F"/>
    <w:rsid w:val="00CD4CD4"/>
    <w:rsid w:val="00CD5147"/>
    <w:rsid w:val="00CE3BC8"/>
    <w:rsid w:val="00CE55D9"/>
    <w:rsid w:val="00CF6D00"/>
    <w:rsid w:val="00CF7E0E"/>
    <w:rsid w:val="00D104C7"/>
    <w:rsid w:val="00D132EB"/>
    <w:rsid w:val="00D1612E"/>
    <w:rsid w:val="00D20A1D"/>
    <w:rsid w:val="00D23666"/>
    <w:rsid w:val="00D27043"/>
    <w:rsid w:val="00D373AF"/>
    <w:rsid w:val="00D457F3"/>
    <w:rsid w:val="00D4649A"/>
    <w:rsid w:val="00D5575E"/>
    <w:rsid w:val="00D75CE0"/>
    <w:rsid w:val="00D7652A"/>
    <w:rsid w:val="00D770DC"/>
    <w:rsid w:val="00D858B3"/>
    <w:rsid w:val="00D86C46"/>
    <w:rsid w:val="00D90EB0"/>
    <w:rsid w:val="00DA7087"/>
    <w:rsid w:val="00DB4516"/>
    <w:rsid w:val="00DC20EC"/>
    <w:rsid w:val="00DC5005"/>
    <w:rsid w:val="00DD1032"/>
    <w:rsid w:val="00DD7746"/>
    <w:rsid w:val="00DE1367"/>
    <w:rsid w:val="00DF329C"/>
    <w:rsid w:val="00DF40D8"/>
    <w:rsid w:val="00DF7BE5"/>
    <w:rsid w:val="00E01BFF"/>
    <w:rsid w:val="00E07B9B"/>
    <w:rsid w:val="00E14033"/>
    <w:rsid w:val="00E14F57"/>
    <w:rsid w:val="00E15E1D"/>
    <w:rsid w:val="00E22D42"/>
    <w:rsid w:val="00E2587A"/>
    <w:rsid w:val="00E32163"/>
    <w:rsid w:val="00E3364D"/>
    <w:rsid w:val="00E35F8E"/>
    <w:rsid w:val="00E370A0"/>
    <w:rsid w:val="00E4016F"/>
    <w:rsid w:val="00E43860"/>
    <w:rsid w:val="00E6058F"/>
    <w:rsid w:val="00E661BC"/>
    <w:rsid w:val="00E661F9"/>
    <w:rsid w:val="00E670B9"/>
    <w:rsid w:val="00E6770C"/>
    <w:rsid w:val="00E71BA4"/>
    <w:rsid w:val="00E72BFD"/>
    <w:rsid w:val="00E7732A"/>
    <w:rsid w:val="00E80682"/>
    <w:rsid w:val="00E84CF7"/>
    <w:rsid w:val="00E84D16"/>
    <w:rsid w:val="00E94CAF"/>
    <w:rsid w:val="00E96669"/>
    <w:rsid w:val="00E978FE"/>
    <w:rsid w:val="00EA009F"/>
    <w:rsid w:val="00EB21D4"/>
    <w:rsid w:val="00EB5CFA"/>
    <w:rsid w:val="00EB6453"/>
    <w:rsid w:val="00EB72E2"/>
    <w:rsid w:val="00EC4DC4"/>
    <w:rsid w:val="00ED0CFF"/>
    <w:rsid w:val="00ED17B7"/>
    <w:rsid w:val="00ED4717"/>
    <w:rsid w:val="00ED66A5"/>
    <w:rsid w:val="00EE4FFD"/>
    <w:rsid w:val="00EE681D"/>
    <w:rsid w:val="00EF2E20"/>
    <w:rsid w:val="00F014C6"/>
    <w:rsid w:val="00F06A26"/>
    <w:rsid w:val="00F1356E"/>
    <w:rsid w:val="00F275AE"/>
    <w:rsid w:val="00F306C0"/>
    <w:rsid w:val="00F35E9F"/>
    <w:rsid w:val="00F36318"/>
    <w:rsid w:val="00F40534"/>
    <w:rsid w:val="00F42537"/>
    <w:rsid w:val="00F42912"/>
    <w:rsid w:val="00F447F0"/>
    <w:rsid w:val="00F534F2"/>
    <w:rsid w:val="00F559CC"/>
    <w:rsid w:val="00F708BA"/>
    <w:rsid w:val="00F74178"/>
    <w:rsid w:val="00F74DDE"/>
    <w:rsid w:val="00F771A1"/>
    <w:rsid w:val="00F77C11"/>
    <w:rsid w:val="00F8629A"/>
    <w:rsid w:val="00F92FAD"/>
    <w:rsid w:val="00FA4913"/>
    <w:rsid w:val="00FC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FF878-22EA-465E-8385-0D6B857D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A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DA7087"/>
  </w:style>
  <w:style w:type="paragraph" w:styleId="NormalWeb">
    <w:name w:val="Normal (Web)"/>
    <w:basedOn w:val="Normal"/>
    <w:uiPriority w:val="99"/>
    <w:semiHidden/>
    <w:unhideWhenUsed/>
    <w:rsid w:val="00DA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DA708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7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Kjærulff Andersen</dc:creator>
  <cp:keywords/>
  <dc:description/>
  <cp:lastModifiedBy>Hellested 37</cp:lastModifiedBy>
  <cp:revision>2</cp:revision>
  <cp:lastPrinted>2016-09-21T12:32:00Z</cp:lastPrinted>
  <dcterms:created xsi:type="dcterms:W3CDTF">2018-02-26T08:41:00Z</dcterms:created>
  <dcterms:modified xsi:type="dcterms:W3CDTF">2018-02-26T08:41:00Z</dcterms:modified>
</cp:coreProperties>
</file>